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0A" w:rsidRPr="00CF570A" w:rsidRDefault="00CF570A" w:rsidP="00CF570A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4"/>
          <w:szCs w:val="24"/>
        </w:rPr>
      </w:pPr>
      <w:r w:rsidRPr="00CF570A">
        <w:rPr>
          <w:b/>
          <w:bCs/>
          <w:color w:val="000000"/>
          <w:sz w:val="24"/>
          <w:szCs w:val="24"/>
        </w:rPr>
        <w:t>ANEXO IV DEL REAL DECRETO 178/2004</w:t>
      </w:r>
    </w:p>
    <w:p w:rsidR="00CF570A" w:rsidRPr="00CF570A" w:rsidRDefault="00CF570A" w:rsidP="00CF570A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</w:p>
    <w:p w:rsidR="00CF570A" w:rsidRPr="00CF570A" w:rsidRDefault="00CF570A" w:rsidP="00CF570A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CF570A">
        <w:rPr>
          <w:b/>
          <w:sz w:val="24"/>
          <w:szCs w:val="24"/>
        </w:rPr>
        <w:t>Nº DE NOTIFICACIÓN:</w:t>
      </w:r>
    </w:p>
    <w:p w:rsidR="00CF570A" w:rsidRPr="00CF570A" w:rsidRDefault="00CF570A" w:rsidP="00CF570A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rPr>
          <w:rFonts w:eastAsia="Times New Roman"/>
          <w:b/>
          <w:bCs/>
        </w:rPr>
        <w:t>Principios que han de seguirse para la evaluación del riesgo para la salud humana y el medio ambiente necesaria para la realización de actividades de liberación voluntaria y comercialización de organismos modificados genéticamente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Sección D. Conclusiones sobre el impacto potencial en el medio ambiente de la liberación voluntaria o comercialización de organismos modificados genéticamente.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D.1. En el caso de organismos modificados genéticamente diferentes de las plantas superiores.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1. Probabilidad de que el organismo modificado genéticamente se convierta en persistente e invasor en hábitats naturales en las condiciones de liberación(es) propuesta(s).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2. Cualquier ventaja o desventaja selectiva que haya adquirido el organismo modificado genéticamente y la probabilidad de que se convierta en realidad en las condiciones de liberación(es) propuesta(s).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3. Transferencia potencial de genes a otras especies en las condiciones de liberación propuestas del organismo modificado genéticamente y cualquier ventaja o desventaja selectiva que adquieran dichas especies.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4. Impacto potencial en el medio ambiente inmediato y/o diferido de las interacciones directas e indirectas entre el organismo modificado genéticamente y los organismos objeto de la investigación si procede.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5. Impacto potencial sobre el medio ambiente inmediato y/o diferido de las interacciones directas e indirectas entre el organismo modificado genéticamente y los organismos ajenos a la investigación, incluido el impacto en los niveles de población de los competidores, presas, huéspedes, simbiontes, predadores, parásitos y organismos patógenos.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6. Posibles efectos inmediatos y/o diferidos sobre la salud humana a consecuencia de las interacciones potenciales directas e indirectas entre los organismos modificados genéticamente y las personas que trabajan con ellos, están en contacto con ellos o cerca de la(s) liberación(es) de organismos modificados genéticamente.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7. Posibles efectos inmediatos y/o diferidos para la salud animal y consecuencias sobre la cadena alimentaria humana o animal resultado del consumo del organismo modificado genéticamente y de cualquier producto derivado de él que se prevea utilizar como alimento animal.</w:t>
      </w:r>
    </w:p>
    <w:p w:rsidR="00CF570A" w:rsidRPr="00CF570A" w:rsidRDefault="00CF570A" w:rsidP="00CF570A">
      <w:pPr>
        <w:pStyle w:val="Default"/>
        <w:spacing w:before="120"/>
        <w:jc w:val="both"/>
      </w:pPr>
      <w:r w:rsidRPr="00CF570A">
        <w:t>8. Posibles efectos inmediatos y/o diferidos sobre los procesos biogeoquímicos resultado de las potenciales interacciones directas e indirectas entre el organismo modificado genéticamente y organismos objeto de la investigación o ajenos a ella cerca de la o de las liberación(es) de organismos modificados genéticamente.</w:t>
      </w:r>
    </w:p>
    <w:p w:rsidR="00CF570A" w:rsidRPr="00CF570A" w:rsidRDefault="00CF570A" w:rsidP="00CF570A">
      <w:pPr>
        <w:spacing w:before="120"/>
        <w:jc w:val="both"/>
        <w:rPr>
          <w:sz w:val="24"/>
          <w:szCs w:val="24"/>
        </w:rPr>
      </w:pPr>
      <w:r w:rsidRPr="00CF570A">
        <w:rPr>
          <w:sz w:val="24"/>
          <w:szCs w:val="24"/>
        </w:rPr>
        <w:t xml:space="preserve">9. Posible impacto directo e indirecto sobre el medio ambiente inmediato y/o diferido de las técnicas </w:t>
      </w:r>
      <w:r w:rsidRPr="00CF570A">
        <w:rPr>
          <w:sz w:val="24"/>
          <w:szCs w:val="24"/>
        </w:rPr>
        <w:t>específicas</w:t>
      </w:r>
      <w:bookmarkStart w:id="0" w:name="_GoBack"/>
      <w:bookmarkEnd w:id="0"/>
      <w:r w:rsidRPr="00CF570A">
        <w:rPr>
          <w:sz w:val="24"/>
          <w:szCs w:val="24"/>
        </w:rPr>
        <w:t xml:space="preserve"> utilizadas para la gestión del organismo modificado genéticamente cuando sean diferentes de las empleadas para los organismos que no hayan sido modificados genéticamente.</w:t>
      </w:r>
    </w:p>
    <w:p w:rsidR="00ED714F" w:rsidRPr="00CF570A" w:rsidRDefault="00ED714F" w:rsidP="00CF570A">
      <w:pPr>
        <w:rPr>
          <w:sz w:val="24"/>
          <w:szCs w:val="24"/>
        </w:rPr>
      </w:pPr>
    </w:p>
    <w:sectPr w:rsidR="00ED714F" w:rsidRPr="00CF570A" w:rsidSect="0083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926" w:bottom="1418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68" w:rsidRDefault="00996268" w:rsidP="00D50EFF">
      <w:r>
        <w:separator/>
      </w:r>
    </w:p>
  </w:endnote>
  <w:endnote w:type="continuationSeparator" w:id="0">
    <w:p w:rsidR="00996268" w:rsidRDefault="00996268" w:rsidP="00D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CB" w:rsidRDefault="00F628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6696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5BA6" w:rsidRDefault="00805BA6">
            <w:pPr>
              <w:pStyle w:val="Piedepgina"/>
              <w:jc w:val="center"/>
            </w:pPr>
            <w:r w:rsidRPr="00805BA6">
              <w:rPr>
                <w:sz w:val="18"/>
                <w:szCs w:val="18"/>
              </w:rPr>
              <w:t xml:space="preserve">Página </w:t>
            </w:r>
            <w:r w:rsidRPr="00805BA6">
              <w:rPr>
                <w:bCs/>
                <w:sz w:val="18"/>
                <w:szCs w:val="18"/>
              </w:rPr>
              <w:fldChar w:fldCharType="begin"/>
            </w:r>
            <w:r w:rsidRPr="00805BA6">
              <w:rPr>
                <w:bCs/>
                <w:sz w:val="18"/>
                <w:szCs w:val="18"/>
              </w:rPr>
              <w:instrText>PAGE</w:instrText>
            </w:r>
            <w:r w:rsidRPr="00805BA6">
              <w:rPr>
                <w:bCs/>
                <w:sz w:val="18"/>
                <w:szCs w:val="18"/>
              </w:rPr>
              <w:fldChar w:fldCharType="separate"/>
            </w:r>
            <w:r w:rsidR="00CF570A">
              <w:rPr>
                <w:bCs/>
                <w:noProof/>
                <w:sz w:val="18"/>
                <w:szCs w:val="18"/>
              </w:rPr>
              <w:t>13</w:t>
            </w:r>
            <w:r w:rsidRPr="00805BA6">
              <w:rPr>
                <w:bCs/>
                <w:sz w:val="18"/>
                <w:szCs w:val="18"/>
              </w:rPr>
              <w:fldChar w:fldCharType="end"/>
            </w:r>
            <w:r w:rsidRPr="00805BA6">
              <w:rPr>
                <w:sz w:val="18"/>
                <w:szCs w:val="18"/>
              </w:rPr>
              <w:t xml:space="preserve"> de </w:t>
            </w:r>
            <w:r w:rsidRPr="00805BA6">
              <w:rPr>
                <w:bCs/>
                <w:sz w:val="18"/>
                <w:szCs w:val="18"/>
              </w:rPr>
              <w:fldChar w:fldCharType="begin"/>
            </w:r>
            <w:r w:rsidRPr="00805BA6">
              <w:rPr>
                <w:bCs/>
                <w:sz w:val="18"/>
                <w:szCs w:val="18"/>
              </w:rPr>
              <w:instrText>NUMPAGES</w:instrText>
            </w:r>
            <w:r w:rsidRPr="00805BA6">
              <w:rPr>
                <w:bCs/>
                <w:sz w:val="18"/>
                <w:szCs w:val="18"/>
              </w:rPr>
              <w:fldChar w:fldCharType="separate"/>
            </w:r>
            <w:r w:rsidR="00CF570A">
              <w:rPr>
                <w:bCs/>
                <w:noProof/>
                <w:sz w:val="18"/>
                <w:szCs w:val="18"/>
              </w:rPr>
              <w:t>13</w:t>
            </w:r>
            <w:r w:rsidRPr="00805BA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543D" w:rsidRDefault="00CF57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2529"/>
      <w:gridCol w:w="5461"/>
      <w:gridCol w:w="2124"/>
    </w:tblGrid>
    <w:tr w:rsidR="00F51E78" w:rsidTr="00F51E78">
      <w:trPr>
        <w:gridBefore w:val="1"/>
        <w:wBefore w:w="72" w:type="dxa"/>
        <w:cantSplit/>
      </w:trPr>
      <w:tc>
        <w:tcPr>
          <w:tcW w:w="2529" w:type="dxa"/>
        </w:tcPr>
        <w:p w:rsidR="00F51E78" w:rsidRDefault="00CF570A">
          <w:pPr>
            <w:pStyle w:val="Piedepgina"/>
          </w:pPr>
        </w:p>
      </w:tc>
      <w:tc>
        <w:tcPr>
          <w:tcW w:w="5461" w:type="dxa"/>
        </w:tcPr>
        <w:p w:rsidR="00F51E78" w:rsidRDefault="00CF570A">
          <w:pPr>
            <w:pStyle w:val="Piedepgina"/>
          </w:pPr>
        </w:p>
      </w:tc>
      <w:tc>
        <w:tcPr>
          <w:tcW w:w="2124" w:type="dxa"/>
          <w:vMerge w:val="restart"/>
        </w:tcPr>
        <w:p w:rsidR="00F51E78" w:rsidRDefault="00ED714F" w:rsidP="00143850">
          <w:pPr>
            <w:pStyle w:val="Piedepgina"/>
            <w:rPr>
              <w:rFonts w:ascii="Arial" w:hAnsi="Arial"/>
              <w:sz w:val="13"/>
            </w:rPr>
          </w:pPr>
          <w:r>
            <w:rPr>
              <w:rFonts w:ascii="Arial" w:hAnsi="Arial"/>
              <w:sz w:val="13"/>
            </w:rPr>
            <w:t xml:space="preserve">Plaza de San Juan de </w:t>
          </w:r>
          <w:smartTag w:uri="urn:schemas-microsoft-com:office:smarttags" w:element="PersonName">
            <w:smartTagPr>
              <w:attr w:name="ProductID" w:val="la Cruz"/>
            </w:smartTagPr>
            <w:r>
              <w:rPr>
                <w:rFonts w:ascii="Arial" w:hAnsi="Arial"/>
                <w:sz w:val="13"/>
              </w:rPr>
              <w:t>la Cruz</w:t>
            </w:r>
          </w:smartTag>
          <w:r>
            <w:rPr>
              <w:rFonts w:ascii="Arial" w:hAnsi="Arial"/>
              <w:sz w:val="13"/>
            </w:rPr>
            <w:t xml:space="preserve"> s/n 28071 MADRID</w:t>
          </w:r>
        </w:p>
        <w:p w:rsidR="00F51E78" w:rsidRDefault="00ED714F" w:rsidP="00143850">
          <w:pPr>
            <w:pStyle w:val="Piedepgina"/>
            <w:rPr>
              <w:rFonts w:ascii="Arial" w:hAnsi="Arial"/>
              <w:sz w:val="13"/>
            </w:rPr>
          </w:pPr>
          <w:r>
            <w:rPr>
              <w:rFonts w:ascii="Arial" w:hAnsi="Arial"/>
              <w:sz w:val="13"/>
            </w:rPr>
            <w:t>TEL.: 91</w:t>
          </w:r>
          <w:r w:rsidR="007A524A">
            <w:rPr>
              <w:rFonts w:ascii="Arial" w:hAnsi="Arial"/>
              <w:sz w:val="13"/>
            </w:rPr>
            <w:t xml:space="preserve"> 597 5650</w:t>
          </w:r>
        </w:p>
        <w:p w:rsidR="00F51E78" w:rsidRDefault="00CF570A" w:rsidP="00143850">
          <w:pPr>
            <w:pStyle w:val="Piedepgina"/>
            <w:rPr>
              <w:rFonts w:ascii="Arial" w:hAnsi="Arial"/>
              <w:sz w:val="14"/>
            </w:rPr>
          </w:pPr>
        </w:p>
      </w:tc>
    </w:tr>
    <w:tr w:rsidR="00F51E78" w:rsidTr="00F51E78">
      <w:trPr>
        <w:gridBefore w:val="1"/>
        <w:wBefore w:w="72" w:type="dxa"/>
        <w:cantSplit/>
        <w:trHeight w:hRule="exact" w:val="90"/>
      </w:trPr>
      <w:tc>
        <w:tcPr>
          <w:tcW w:w="7990" w:type="dxa"/>
          <w:gridSpan w:val="2"/>
          <w:vAlign w:val="center"/>
        </w:tcPr>
        <w:p w:rsidR="00F51E78" w:rsidRDefault="00CF570A">
          <w:pPr>
            <w:pStyle w:val="Piedepgina"/>
          </w:pPr>
        </w:p>
      </w:tc>
      <w:tc>
        <w:tcPr>
          <w:tcW w:w="2124" w:type="dxa"/>
          <w:vMerge/>
        </w:tcPr>
        <w:p w:rsidR="00F51E78" w:rsidRDefault="00CF570A">
          <w:pPr>
            <w:pStyle w:val="Piedepgina"/>
          </w:pPr>
        </w:p>
      </w:tc>
    </w:tr>
    <w:tr w:rsidR="00F51E78" w:rsidTr="00F51E78">
      <w:trPr>
        <w:cantSplit/>
        <w:trHeight w:val="390"/>
      </w:trPr>
      <w:tc>
        <w:tcPr>
          <w:tcW w:w="8062" w:type="dxa"/>
          <w:gridSpan w:val="3"/>
        </w:tcPr>
        <w:p w:rsidR="00F51E78" w:rsidRDefault="00CF570A">
          <w:pPr>
            <w:pStyle w:val="Piedepgina"/>
            <w:rPr>
              <w:rFonts w:ascii="Arial" w:hAnsi="Arial"/>
              <w:sz w:val="14"/>
            </w:rPr>
          </w:pPr>
        </w:p>
        <w:p w:rsidR="00F51E78" w:rsidRDefault="00CF570A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2124" w:type="dxa"/>
          <w:vMerge/>
        </w:tcPr>
        <w:p w:rsidR="00F51E78" w:rsidRDefault="00CF570A">
          <w:pPr>
            <w:pStyle w:val="Piedepgina"/>
          </w:pPr>
        </w:p>
      </w:tc>
    </w:tr>
  </w:tbl>
  <w:p w:rsidR="00B4543D" w:rsidRDefault="00CF57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68" w:rsidRDefault="00996268" w:rsidP="00D50EFF">
      <w:r>
        <w:separator/>
      </w:r>
    </w:p>
  </w:footnote>
  <w:footnote w:type="continuationSeparator" w:id="0">
    <w:p w:rsidR="00996268" w:rsidRDefault="00996268" w:rsidP="00D5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CB" w:rsidRDefault="00F628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160"/>
      <w:gridCol w:w="814"/>
      <w:gridCol w:w="55"/>
      <w:gridCol w:w="105"/>
      <w:gridCol w:w="55"/>
    </w:tblGrid>
    <w:tr w:rsidR="00B4543D">
      <w:trPr>
        <w:gridAfter w:val="1"/>
        <w:wAfter w:w="55" w:type="dxa"/>
        <w:trHeight w:hRule="exact" w:val="989"/>
      </w:trPr>
      <w:tc>
        <w:tcPr>
          <w:tcW w:w="9993" w:type="dxa"/>
        </w:tcPr>
        <w:p w:rsidR="00B4543D" w:rsidRDefault="00ED714F" w:rsidP="00F51E78">
          <w:pPr>
            <w:pStyle w:val="Encabezado"/>
            <w:jc w:val="right"/>
          </w:pPr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5pt" o:ole="" fillcolor="window">
                <v:imagedata r:id="rId1" o:title=""/>
              </v:shape>
              <o:OLEObject Type="Embed" ProgID="PBrush" ShapeID="_x0000_i1025" DrawAspect="Content" ObjectID="_1643104052" r:id="rId2"/>
            </w:object>
          </w:r>
        </w:p>
      </w:tc>
      <w:tc>
        <w:tcPr>
          <w:tcW w:w="974" w:type="dxa"/>
          <w:gridSpan w:val="2"/>
        </w:tcPr>
        <w:p w:rsidR="00B4543D" w:rsidRDefault="00CF570A">
          <w:pPr>
            <w:pStyle w:val="Encabezado"/>
          </w:pPr>
        </w:p>
      </w:tc>
      <w:tc>
        <w:tcPr>
          <w:tcW w:w="160" w:type="dxa"/>
          <w:gridSpan w:val="2"/>
        </w:tcPr>
        <w:p w:rsidR="00B4543D" w:rsidRDefault="00CF570A">
          <w:pPr>
            <w:pStyle w:val="Encabezado"/>
          </w:pPr>
        </w:p>
      </w:tc>
    </w:tr>
    <w:tr w:rsidR="00B4543D">
      <w:tc>
        <w:tcPr>
          <w:tcW w:w="9993" w:type="dxa"/>
        </w:tcPr>
        <w:p w:rsidR="00B4543D" w:rsidRDefault="00CF570A">
          <w:pPr>
            <w:pStyle w:val="Encabezado"/>
          </w:pPr>
        </w:p>
      </w:tc>
      <w:tc>
        <w:tcPr>
          <w:tcW w:w="160" w:type="dxa"/>
        </w:tcPr>
        <w:p w:rsidR="00B4543D" w:rsidRDefault="00CF570A">
          <w:pPr>
            <w:pStyle w:val="Encabezado"/>
          </w:pPr>
        </w:p>
      </w:tc>
      <w:tc>
        <w:tcPr>
          <w:tcW w:w="869" w:type="dxa"/>
          <w:gridSpan w:val="2"/>
          <w:tcBorders>
            <w:top w:val="single" w:sz="4" w:space="0" w:color="auto"/>
          </w:tcBorders>
        </w:tcPr>
        <w:p w:rsidR="00B4543D" w:rsidRDefault="00CF570A">
          <w:pPr>
            <w:pStyle w:val="Encabezado"/>
          </w:pPr>
        </w:p>
      </w:tc>
      <w:tc>
        <w:tcPr>
          <w:tcW w:w="160" w:type="dxa"/>
          <w:gridSpan w:val="2"/>
          <w:tcBorders>
            <w:top w:val="single" w:sz="4" w:space="0" w:color="auto"/>
          </w:tcBorders>
        </w:tcPr>
        <w:p w:rsidR="00B4543D" w:rsidRDefault="00CF570A">
          <w:pPr>
            <w:pStyle w:val="Encabezado"/>
          </w:pPr>
        </w:p>
      </w:tc>
    </w:tr>
    <w:tr w:rsidR="00B4543D">
      <w:trPr>
        <w:gridAfter w:val="1"/>
        <w:wAfter w:w="55" w:type="dxa"/>
      </w:trPr>
      <w:tc>
        <w:tcPr>
          <w:tcW w:w="9993" w:type="dxa"/>
        </w:tcPr>
        <w:p w:rsidR="00B4543D" w:rsidRDefault="00CF570A">
          <w:pPr>
            <w:pStyle w:val="Encabezado"/>
          </w:pPr>
        </w:p>
      </w:tc>
      <w:tc>
        <w:tcPr>
          <w:tcW w:w="974" w:type="dxa"/>
          <w:gridSpan w:val="2"/>
        </w:tcPr>
        <w:p w:rsidR="00B4543D" w:rsidRDefault="00CF570A">
          <w:pPr>
            <w:pStyle w:val="Encabezado"/>
          </w:pPr>
        </w:p>
      </w:tc>
      <w:tc>
        <w:tcPr>
          <w:tcW w:w="160" w:type="dxa"/>
          <w:gridSpan w:val="2"/>
        </w:tcPr>
        <w:p w:rsidR="00B4543D" w:rsidRDefault="00CF570A">
          <w:pPr>
            <w:pStyle w:val="Encabezado"/>
          </w:pPr>
        </w:p>
      </w:tc>
    </w:tr>
    <w:tr w:rsidR="00B4543D">
      <w:trPr>
        <w:gridAfter w:val="1"/>
        <w:wAfter w:w="55" w:type="dxa"/>
      </w:trPr>
      <w:tc>
        <w:tcPr>
          <w:tcW w:w="9993" w:type="dxa"/>
        </w:tcPr>
        <w:p w:rsidR="00B4543D" w:rsidRDefault="00CF570A">
          <w:pPr>
            <w:pStyle w:val="Encabezado"/>
          </w:pPr>
        </w:p>
      </w:tc>
      <w:tc>
        <w:tcPr>
          <w:tcW w:w="974" w:type="dxa"/>
          <w:gridSpan w:val="2"/>
        </w:tcPr>
        <w:p w:rsidR="00B4543D" w:rsidRDefault="00CF570A">
          <w:pPr>
            <w:pStyle w:val="Encabezado"/>
          </w:pPr>
        </w:p>
      </w:tc>
      <w:tc>
        <w:tcPr>
          <w:tcW w:w="160" w:type="dxa"/>
          <w:gridSpan w:val="2"/>
        </w:tcPr>
        <w:p w:rsidR="00B4543D" w:rsidRDefault="00CF570A">
          <w:pPr>
            <w:pStyle w:val="Encabezado"/>
          </w:pPr>
        </w:p>
      </w:tc>
    </w:tr>
  </w:tbl>
  <w:p w:rsidR="00B4543D" w:rsidRDefault="00CF57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8A" w:rsidRDefault="00CF570A" w:rsidP="00027E8A">
    <w:pPr>
      <w:framePr w:w="4152" w:h="466" w:hSpace="141" w:wrap="around" w:vAnchor="page" w:hAnchor="page" w:x="2209" w:y="762"/>
      <w:rPr>
        <w:rFonts w:ascii="Arial" w:hAnsi="Arial"/>
      </w:rPr>
    </w:pPr>
  </w:p>
  <w:p w:rsidR="00B4543D" w:rsidRDefault="00ED714F" w:rsidP="00027E8A">
    <w:pPr>
      <w:framePr w:w="4152" w:h="466" w:hSpace="141" w:wrap="around" w:vAnchor="page" w:hAnchor="page" w:x="2209" w:y="762"/>
      <w:rPr>
        <w:rFonts w:ascii="Arial" w:hAnsi="Arial"/>
      </w:rPr>
    </w:pPr>
    <w:r>
      <w:rPr>
        <w:rFonts w:ascii="Arial" w:hAnsi="Arial"/>
      </w:rPr>
      <w:t>MINISTERIO</w:t>
    </w:r>
    <w:r w:rsidR="00C44051">
      <w:rPr>
        <w:rFonts w:ascii="Arial" w:hAnsi="Arial"/>
      </w:rPr>
      <w:t xml:space="preserve"> </w:t>
    </w:r>
    <w:r w:rsidR="006D66AB">
      <w:rPr>
        <w:rFonts w:ascii="Arial" w:hAnsi="Arial"/>
      </w:rPr>
      <w:t>PARA LA TRANSICIÓN ECOLÓGICA</w:t>
    </w:r>
    <w:r w:rsidR="00AD3755">
      <w:rPr>
        <w:rFonts w:ascii="Arial" w:hAnsi="Arial"/>
      </w:rPr>
      <w:t xml:space="preserve"> Y EL RETO DEMOGRÁFICO</w:t>
    </w:r>
  </w:p>
  <w:tbl>
    <w:tblPr>
      <w:tblW w:w="100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0"/>
      <w:gridCol w:w="20"/>
      <w:gridCol w:w="3760"/>
    </w:tblGrid>
    <w:tr w:rsidR="00467A88" w:rsidTr="00467A88">
      <w:trPr>
        <w:cantSplit/>
        <w:trHeight w:val="178"/>
      </w:trPr>
      <w:tc>
        <w:tcPr>
          <w:tcW w:w="6300" w:type="dxa"/>
          <w:vMerge w:val="restart"/>
        </w:tcPr>
        <w:p w:rsidR="00467A88" w:rsidRDefault="00CF570A">
          <w:pPr>
            <w:pStyle w:val="Encabezado"/>
            <w:spacing w:line="120" w:lineRule="atLeast"/>
          </w:pPr>
        </w:p>
        <w:p w:rsidR="00467A88" w:rsidRDefault="00ED714F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5pt;height:48pt" o:ole="">
                <v:imagedata r:id="rId1" o:title=""/>
              </v:shape>
              <o:OLEObject Type="Embed" ProgID="PBrush" ShapeID="_x0000_i1026" DrawAspect="Content" ObjectID="_1643104053" r:id="rId2"/>
            </w:object>
          </w:r>
          <w:r>
            <w:t xml:space="preserve"> </w:t>
          </w:r>
        </w:p>
      </w:tc>
      <w:tc>
        <w:tcPr>
          <w:tcW w:w="20" w:type="dxa"/>
        </w:tcPr>
        <w:p w:rsidR="00467A88" w:rsidRDefault="00CF570A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</w:tcPr>
        <w:p w:rsidR="00467A88" w:rsidRDefault="00CF570A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  <w:tr w:rsidR="00467A88" w:rsidTr="004C4AC2">
      <w:trPr>
        <w:cantSplit/>
        <w:trHeight w:val="543"/>
      </w:trPr>
      <w:tc>
        <w:tcPr>
          <w:tcW w:w="6300" w:type="dxa"/>
          <w:vMerge/>
        </w:tcPr>
        <w:p w:rsidR="00467A88" w:rsidRDefault="00CF570A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0" w:type="dxa"/>
          <w:vMerge w:val="restart"/>
        </w:tcPr>
        <w:p w:rsidR="00467A88" w:rsidRDefault="00CF570A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  <w:shd w:val="pct12" w:color="auto" w:fill="FFFFFF"/>
        </w:tcPr>
        <w:p w:rsidR="00467A88" w:rsidRDefault="00CF570A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</w:p>
        <w:p w:rsidR="00467A88" w:rsidRDefault="00ED714F" w:rsidP="00C44051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DIRECCION </w:t>
          </w:r>
          <w:r w:rsidR="00F628CB">
            <w:rPr>
              <w:rFonts w:ascii="Arial" w:hAnsi="Arial"/>
              <w:sz w:val="14"/>
            </w:rPr>
            <w:t xml:space="preserve">GENERAL DE </w:t>
          </w:r>
          <w:r w:rsidR="00C44051">
            <w:rPr>
              <w:rFonts w:ascii="Arial" w:hAnsi="Arial"/>
              <w:sz w:val="14"/>
            </w:rPr>
            <w:t>CALIDAD</w:t>
          </w:r>
          <w:r w:rsidR="00F628CB">
            <w:rPr>
              <w:rFonts w:ascii="Arial" w:hAnsi="Arial"/>
              <w:sz w:val="14"/>
            </w:rPr>
            <w:t xml:space="preserve"> Y EVALUACIÓN</w:t>
          </w:r>
          <w:r w:rsidR="00C44051">
            <w:rPr>
              <w:rFonts w:ascii="Arial" w:hAnsi="Arial"/>
              <w:sz w:val="14"/>
            </w:rPr>
            <w:t xml:space="preserve"> AMBIENTAL</w:t>
          </w:r>
        </w:p>
      </w:tc>
    </w:tr>
    <w:tr w:rsidR="00467A88" w:rsidTr="007008F3">
      <w:trPr>
        <w:cantSplit/>
        <w:trHeight w:val="536"/>
      </w:trPr>
      <w:tc>
        <w:tcPr>
          <w:tcW w:w="6300" w:type="dxa"/>
          <w:vMerge/>
        </w:tcPr>
        <w:p w:rsidR="00467A88" w:rsidRDefault="00CF570A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0" w:type="dxa"/>
          <w:vMerge/>
        </w:tcPr>
        <w:p w:rsidR="00467A88" w:rsidRDefault="00CF570A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</w:tcPr>
        <w:p w:rsidR="00467A88" w:rsidRDefault="00CF570A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  <w:p w:rsidR="0076631A" w:rsidRDefault="00ED714F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Comisión Nacional de Bioseguridad</w:t>
          </w:r>
        </w:p>
        <w:p w:rsidR="00467A88" w:rsidRDefault="00CF570A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</w:tbl>
  <w:p w:rsidR="00B4543D" w:rsidRDefault="00CF57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F2"/>
    <w:multiLevelType w:val="hybridMultilevel"/>
    <w:tmpl w:val="3A821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295"/>
    <w:multiLevelType w:val="hybridMultilevel"/>
    <w:tmpl w:val="6D5E5016"/>
    <w:lvl w:ilvl="0" w:tplc="831A0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845"/>
    <w:multiLevelType w:val="hybridMultilevel"/>
    <w:tmpl w:val="FF4A4990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DD0"/>
    <w:multiLevelType w:val="multilevel"/>
    <w:tmpl w:val="074C4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C2344B"/>
    <w:multiLevelType w:val="hybridMultilevel"/>
    <w:tmpl w:val="A57AAE16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5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6B09D8"/>
    <w:multiLevelType w:val="hybridMultilevel"/>
    <w:tmpl w:val="BBA8C764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8E7"/>
    <w:multiLevelType w:val="multilevel"/>
    <w:tmpl w:val="A97A5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73699E"/>
    <w:multiLevelType w:val="hybridMultilevel"/>
    <w:tmpl w:val="55E6E798"/>
    <w:lvl w:ilvl="0" w:tplc="07D6049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90B2A"/>
    <w:multiLevelType w:val="multilevel"/>
    <w:tmpl w:val="C440881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3BC42128"/>
    <w:multiLevelType w:val="hybridMultilevel"/>
    <w:tmpl w:val="516E4B68"/>
    <w:lvl w:ilvl="0" w:tplc="8B98AD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67E29"/>
    <w:multiLevelType w:val="hybridMultilevel"/>
    <w:tmpl w:val="6BB80C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68D5"/>
    <w:multiLevelType w:val="hybridMultilevel"/>
    <w:tmpl w:val="125A6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A2923"/>
    <w:multiLevelType w:val="hybridMultilevel"/>
    <w:tmpl w:val="1F788270"/>
    <w:lvl w:ilvl="0" w:tplc="42A29B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0E60"/>
    <w:multiLevelType w:val="hybridMultilevel"/>
    <w:tmpl w:val="6110FB68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F57CE"/>
    <w:multiLevelType w:val="hybridMultilevel"/>
    <w:tmpl w:val="3A821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143C"/>
    <w:multiLevelType w:val="hybridMultilevel"/>
    <w:tmpl w:val="0964951A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175FE"/>
    <w:multiLevelType w:val="hybridMultilevel"/>
    <w:tmpl w:val="1EA60A78"/>
    <w:lvl w:ilvl="0" w:tplc="07D60494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5109"/>
    <w:multiLevelType w:val="hybridMultilevel"/>
    <w:tmpl w:val="0E8A0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1014"/>
    <w:multiLevelType w:val="hybridMultilevel"/>
    <w:tmpl w:val="1340F5AA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46DFD"/>
    <w:multiLevelType w:val="hybridMultilevel"/>
    <w:tmpl w:val="860C0B2C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750F"/>
    <w:multiLevelType w:val="multilevel"/>
    <w:tmpl w:val="2C0E9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i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4D67B9"/>
    <w:multiLevelType w:val="hybridMultilevel"/>
    <w:tmpl w:val="201E83D0"/>
    <w:lvl w:ilvl="0" w:tplc="628C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433D7"/>
    <w:multiLevelType w:val="hybridMultilevel"/>
    <w:tmpl w:val="1F788270"/>
    <w:lvl w:ilvl="0" w:tplc="42A29B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01C96"/>
    <w:multiLevelType w:val="hybridMultilevel"/>
    <w:tmpl w:val="949CB670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729AE"/>
    <w:multiLevelType w:val="hybridMultilevel"/>
    <w:tmpl w:val="6686A4C8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6050"/>
    <w:multiLevelType w:val="hybridMultilevel"/>
    <w:tmpl w:val="5E3808B8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E224D"/>
    <w:multiLevelType w:val="hybridMultilevel"/>
    <w:tmpl w:val="97C02580"/>
    <w:lvl w:ilvl="0" w:tplc="8B98ADA2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20"/>
  </w:num>
  <w:num w:numId="9">
    <w:abstractNumId w:val="14"/>
  </w:num>
  <w:num w:numId="10">
    <w:abstractNumId w:val="26"/>
  </w:num>
  <w:num w:numId="11">
    <w:abstractNumId w:val="6"/>
  </w:num>
  <w:num w:numId="12">
    <w:abstractNumId w:val="2"/>
  </w:num>
  <w:num w:numId="13">
    <w:abstractNumId w:val="25"/>
  </w:num>
  <w:num w:numId="14">
    <w:abstractNumId w:val="24"/>
  </w:num>
  <w:num w:numId="15">
    <w:abstractNumId w:val="16"/>
  </w:num>
  <w:num w:numId="16">
    <w:abstractNumId w:val="15"/>
  </w:num>
  <w:num w:numId="17">
    <w:abstractNumId w:val="1"/>
  </w:num>
  <w:num w:numId="18">
    <w:abstractNumId w:val="21"/>
  </w:num>
  <w:num w:numId="19">
    <w:abstractNumId w:val="22"/>
  </w:num>
  <w:num w:numId="20">
    <w:abstractNumId w:val="17"/>
  </w:num>
  <w:num w:numId="21">
    <w:abstractNumId w:val="12"/>
  </w:num>
  <w:num w:numId="22">
    <w:abstractNumId w:val="0"/>
  </w:num>
  <w:num w:numId="23">
    <w:abstractNumId w:val="8"/>
  </w:num>
  <w:num w:numId="24">
    <w:abstractNumId w:val="7"/>
  </w:num>
  <w:num w:numId="25">
    <w:abstractNumId w:val="23"/>
  </w:num>
  <w:num w:numId="26">
    <w:abstractNumId w:val="18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14F"/>
    <w:rsid w:val="001C42A6"/>
    <w:rsid w:val="001D5343"/>
    <w:rsid w:val="001D5DCD"/>
    <w:rsid w:val="001E77F9"/>
    <w:rsid w:val="001F2FFA"/>
    <w:rsid w:val="00226B53"/>
    <w:rsid w:val="00271BAF"/>
    <w:rsid w:val="00357C96"/>
    <w:rsid w:val="00395A67"/>
    <w:rsid w:val="003D15F7"/>
    <w:rsid w:val="005C774F"/>
    <w:rsid w:val="0062049F"/>
    <w:rsid w:val="006B7F41"/>
    <w:rsid w:val="006D66AB"/>
    <w:rsid w:val="00767E25"/>
    <w:rsid w:val="0078137C"/>
    <w:rsid w:val="007A524A"/>
    <w:rsid w:val="007D6466"/>
    <w:rsid w:val="00805BA6"/>
    <w:rsid w:val="00823593"/>
    <w:rsid w:val="008D616B"/>
    <w:rsid w:val="00900034"/>
    <w:rsid w:val="00996268"/>
    <w:rsid w:val="009F6761"/>
    <w:rsid w:val="00A24096"/>
    <w:rsid w:val="00AD3755"/>
    <w:rsid w:val="00AF77C7"/>
    <w:rsid w:val="00B43B60"/>
    <w:rsid w:val="00B67951"/>
    <w:rsid w:val="00B90E93"/>
    <w:rsid w:val="00BA6D1C"/>
    <w:rsid w:val="00BE1223"/>
    <w:rsid w:val="00BF6D9C"/>
    <w:rsid w:val="00C44051"/>
    <w:rsid w:val="00CE0D26"/>
    <w:rsid w:val="00CF570A"/>
    <w:rsid w:val="00D41F19"/>
    <w:rsid w:val="00D50EFF"/>
    <w:rsid w:val="00D9654D"/>
    <w:rsid w:val="00DA60F5"/>
    <w:rsid w:val="00E05424"/>
    <w:rsid w:val="00E46DEB"/>
    <w:rsid w:val="00ED714F"/>
    <w:rsid w:val="00F01C8C"/>
    <w:rsid w:val="00F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9"/>
    <o:shapelayout v:ext="edit">
      <o:idmap v:ext="edit" data="1"/>
    </o:shapelayout>
  </w:shapeDefaults>
  <w:decimalSymbol w:val=","/>
  <w:listSeparator w:val=";"/>
  <w15:docId w15:val="{A90B016D-EB3F-4B74-8DEE-AD3668B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226B53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71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71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D71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1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01C8C"/>
    <w:pPr>
      <w:ind w:left="708"/>
    </w:pPr>
  </w:style>
  <w:style w:type="character" w:customStyle="1" w:styleId="Ttulo1Car">
    <w:name w:val="Título 1 Car"/>
    <w:basedOn w:val="Fuentedeprrafopredeter"/>
    <w:link w:val="Ttulo1"/>
    <w:rsid w:val="00226B53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26B53"/>
    <w:pPr>
      <w:jc w:val="both"/>
    </w:pPr>
    <w:rPr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6B53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5DC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DC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D5DCD"/>
    <w:rPr>
      <w:vertAlign w:val="superscript"/>
    </w:rPr>
  </w:style>
  <w:style w:type="table" w:styleId="Tablaconcuadrcula">
    <w:name w:val="Table Grid"/>
    <w:basedOn w:val="Tablanormal"/>
    <w:uiPriority w:val="59"/>
    <w:rsid w:val="001D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Fuentedeprrafopredeter"/>
    <w:rsid w:val="001D5DCD"/>
  </w:style>
  <w:style w:type="paragraph" w:customStyle="1" w:styleId="Default">
    <w:name w:val="Default"/>
    <w:rsid w:val="001D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DCD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767E2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9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at_sgcamai8</dc:creator>
  <cp:lastModifiedBy>Gomez Tore, Eva M. (Inia)</cp:lastModifiedBy>
  <cp:revision>10</cp:revision>
  <dcterms:created xsi:type="dcterms:W3CDTF">2019-11-12T14:04:00Z</dcterms:created>
  <dcterms:modified xsi:type="dcterms:W3CDTF">2020-02-13T12:01:00Z</dcterms:modified>
</cp:coreProperties>
</file>