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CF35" w14:textId="4A82EBB3" w:rsidR="009C2468" w:rsidRDefault="009C2468" w:rsidP="009C2468">
      <w:pPr>
        <w:rPr>
          <w:rFonts w:cs="Arial"/>
          <w:b/>
          <w:color w:val="333333"/>
          <w:sz w:val="22"/>
          <w:szCs w:val="22"/>
          <w:u w:val="single"/>
        </w:rPr>
      </w:pPr>
      <w:r w:rsidRPr="00F717B3">
        <w:rPr>
          <w:rFonts w:cs="Arial"/>
          <w:b/>
          <w:color w:val="333333"/>
          <w:sz w:val="22"/>
          <w:szCs w:val="22"/>
          <w:u w:val="single"/>
        </w:rPr>
        <w:t xml:space="preserve">Cuadro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 xml:space="preserve">para </w:t>
      </w:r>
      <w:r w:rsidR="00541674" w:rsidRPr="00F717B3">
        <w:rPr>
          <w:rFonts w:cs="Arial"/>
          <w:b/>
          <w:color w:val="333333"/>
          <w:sz w:val="22"/>
          <w:szCs w:val="22"/>
          <w:u w:val="single"/>
        </w:rPr>
        <w:t xml:space="preserve">formular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>comentarios y propuestas</w:t>
      </w:r>
    </w:p>
    <w:p w14:paraId="7BAF6EEE" w14:textId="77777777" w:rsidR="00FC2D46" w:rsidRPr="00F717B3" w:rsidRDefault="00FC2D46" w:rsidP="009C2468">
      <w:pPr>
        <w:rPr>
          <w:rFonts w:cs="Arial"/>
          <w:b/>
          <w:color w:val="333333"/>
          <w:sz w:val="22"/>
          <w:szCs w:val="22"/>
        </w:rPr>
      </w:pPr>
    </w:p>
    <w:p w14:paraId="410E05F4" w14:textId="77777777" w:rsidR="00A46108" w:rsidRPr="006A5247" w:rsidRDefault="00A46108" w:rsidP="00A46108">
      <w:pPr>
        <w:rPr>
          <w:b/>
          <w:szCs w:val="24"/>
        </w:rPr>
      </w:pPr>
      <w:r w:rsidRPr="006A5247">
        <w:rPr>
          <w:b/>
          <w:szCs w:val="24"/>
        </w:rPr>
        <w:t>Consulta pública previa sobre la aprobación de un proyecto de Orden Ministerial por la que se establecen los criterios para determinar cuándo las escorias de horno de arco eléctrico</w:t>
      </w:r>
      <w:r>
        <w:rPr>
          <w:b/>
          <w:szCs w:val="24"/>
        </w:rPr>
        <w:t xml:space="preserve"> (acero al carbono, cobre y </w:t>
      </w:r>
      <w:proofErr w:type="spellStart"/>
      <w:r>
        <w:rPr>
          <w:b/>
          <w:szCs w:val="24"/>
        </w:rPr>
        <w:t>silicomanganeso</w:t>
      </w:r>
      <w:proofErr w:type="spellEnd"/>
      <w:r>
        <w:rPr>
          <w:b/>
          <w:szCs w:val="24"/>
        </w:rPr>
        <w:t>)</w:t>
      </w:r>
      <w:r w:rsidRPr="006A5247">
        <w:rPr>
          <w:b/>
          <w:szCs w:val="24"/>
        </w:rPr>
        <w:t xml:space="preserve"> destinadas</w:t>
      </w:r>
      <w:r>
        <w:rPr>
          <w:b/>
          <w:szCs w:val="24"/>
        </w:rPr>
        <w:t xml:space="preserve"> para uso como árido (en aplicaciones ligadas y no ligadas) y para otros usos</w:t>
      </w:r>
      <w:r w:rsidRPr="006A5247">
        <w:rPr>
          <w:b/>
          <w:szCs w:val="24"/>
        </w:rPr>
        <w:t>, dejan de ser residuos con arreglo a la Ley 22/2011, de 28 de julio, de residuos y suelos contaminados.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3969"/>
        <w:gridCol w:w="4277"/>
        <w:gridCol w:w="2151"/>
      </w:tblGrid>
      <w:tr w:rsidR="001961C9" w:rsidRPr="00083299" w14:paraId="26910BF2" w14:textId="77777777" w:rsidTr="00F717B3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5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969" w:type="dxa"/>
            <w:vAlign w:val="center"/>
          </w:tcPr>
          <w:p w14:paraId="6B977021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7" w:type="dxa"/>
            <w:vAlign w:val="center"/>
          </w:tcPr>
          <w:p w14:paraId="6EC36A16" w14:textId="5E5C50D4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51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F717B3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F717B3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F717B3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F717B3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F717B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D168" w14:textId="77777777" w:rsidR="00950A80" w:rsidRDefault="00950A80">
      <w:r>
        <w:separator/>
      </w:r>
    </w:p>
  </w:endnote>
  <w:endnote w:type="continuationSeparator" w:id="0">
    <w:p w14:paraId="1DC2B859" w14:textId="77777777" w:rsidR="00950A80" w:rsidRDefault="0095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A46108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DAB7" w14:textId="77777777" w:rsidR="00950A80" w:rsidRDefault="00950A80">
      <w:r>
        <w:separator/>
      </w:r>
    </w:p>
  </w:footnote>
  <w:footnote w:type="continuationSeparator" w:id="0">
    <w:p w14:paraId="5A1F1102" w14:textId="77777777" w:rsidR="00950A80" w:rsidRDefault="0095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475"/>
      <w:gridCol w:w="141"/>
      <w:gridCol w:w="2689"/>
    </w:tblGrid>
    <w:tr w:rsidR="006C0178" w14:paraId="208D3C12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0" w:dyaOrig="900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9pt;height:44.9pt" fillcolor="window">
                <v:imagedata r:id="rId1" o:title=""/>
              </v:shape>
              <o:OLEObject Type="Embed" ProgID="PBrush" ShapeID="_x0000_i1025" DrawAspect="Content" ObjectID="_1688807697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475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6338404C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F14AE1">
            <w:rPr>
              <w:rFonts w:cs="Arial"/>
              <w:sz w:val="20"/>
            </w:rPr>
            <w:t xml:space="preserve"> Y</w:t>
          </w:r>
        </w:p>
        <w:p w14:paraId="00078F6F" w14:textId="1D2438EE" w:rsidR="00F14AE1" w:rsidRPr="007C21BA" w:rsidRDefault="00F14AE1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141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6C0178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63CF2F8A" w:rsidR="006C0178" w:rsidRPr="007C21BA" w:rsidRDefault="006C0178" w:rsidP="00F14AE1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="00F14AE1">
            <w:rPr>
              <w:rFonts w:cs="Arial"/>
              <w:sz w:val="16"/>
              <w:szCs w:val="16"/>
            </w:rPr>
            <w:t xml:space="preserve"> Y EVALUACIÓN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  <w:tr w:rsidR="006C0178" w14:paraId="19AF60AB" w14:textId="77777777" w:rsidTr="006C0178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0" w:dyaOrig="900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4.9pt;height:44.9pt" fillcolor="window">
                <v:imagedata r:id="rId1" o:title=""/>
              </v:shape>
              <o:OLEObject Type="Embed" ProgID="PBrush" ShapeID="_x0000_i1026" DrawAspect="Content" ObjectID="_1688807698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F04"/>
    <w:multiLevelType w:val="hybridMultilevel"/>
    <w:tmpl w:val="8C4823C2"/>
    <w:lvl w:ilvl="0" w:tplc="1B9A2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7520"/>
    <w:multiLevelType w:val="hybridMultilevel"/>
    <w:tmpl w:val="32568B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0DFA"/>
    <w:rsid w:val="0010121B"/>
    <w:rsid w:val="001032DA"/>
    <w:rsid w:val="00104771"/>
    <w:rsid w:val="00104824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1CA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2D94"/>
    <w:rsid w:val="002C3397"/>
    <w:rsid w:val="002C444C"/>
    <w:rsid w:val="002C468C"/>
    <w:rsid w:val="002C49B0"/>
    <w:rsid w:val="002C79F1"/>
    <w:rsid w:val="002D4195"/>
    <w:rsid w:val="002D4CCA"/>
    <w:rsid w:val="002D5CA6"/>
    <w:rsid w:val="002D71C7"/>
    <w:rsid w:val="002E0270"/>
    <w:rsid w:val="002E7F8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6D5"/>
    <w:rsid w:val="00380C98"/>
    <w:rsid w:val="00383180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334E"/>
    <w:rsid w:val="003B44F3"/>
    <w:rsid w:val="003B5777"/>
    <w:rsid w:val="003B5846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07D51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5FD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5EF1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2A49"/>
    <w:rsid w:val="005A5B92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5F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032F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1B4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473C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723E8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1492"/>
    <w:rsid w:val="007E4565"/>
    <w:rsid w:val="007E4A15"/>
    <w:rsid w:val="007E4C41"/>
    <w:rsid w:val="007E6C96"/>
    <w:rsid w:val="007E771A"/>
    <w:rsid w:val="007F1BF2"/>
    <w:rsid w:val="007F403F"/>
    <w:rsid w:val="007F4FF1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32C"/>
    <w:rsid w:val="00832DE7"/>
    <w:rsid w:val="008375F1"/>
    <w:rsid w:val="00837866"/>
    <w:rsid w:val="0084037E"/>
    <w:rsid w:val="008433FE"/>
    <w:rsid w:val="008440E6"/>
    <w:rsid w:val="008441ED"/>
    <w:rsid w:val="00847FA0"/>
    <w:rsid w:val="008501D0"/>
    <w:rsid w:val="00850790"/>
    <w:rsid w:val="00851A53"/>
    <w:rsid w:val="00852CB3"/>
    <w:rsid w:val="00855B51"/>
    <w:rsid w:val="00855DA0"/>
    <w:rsid w:val="00856BC2"/>
    <w:rsid w:val="00861FF2"/>
    <w:rsid w:val="0086215E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3526"/>
    <w:rsid w:val="008A520A"/>
    <w:rsid w:val="008A5238"/>
    <w:rsid w:val="008A5628"/>
    <w:rsid w:val="008A5A95"/>
    <w:rsid w:val="008A6D32"/>
    <w:rsid w:val="008B13AD"/>
    <w:rsid w:val="008B26A4"/>
    <w:rsid w:val="008B3456"/>
    <w:rsid w:val="008B3D07"/>
    <w:rsid w:val="008B59EF"/>
    <w:rsid w:val="008B6970"/>
    <w:rsid w:val="008B7101"/>
    <w:rsid w:val="008B78F5"/>
    <w:rsid w:val="008C0C04"/>
    <w:rsid w:val="008C1731"/>
    <w:rsid w:val="008C3931"/>
    <w:rsid w:val="008C3D5B"/>
    <w:rsid w:val="008D1454"/>
    <w:rsid w:val="008D1765"/>
    <w:rsid w:val="008D207B"/>
    <w:rsid w:val="008D4677"/>
    <w:rsid w:val="008D6517"/>
    <w:rsid w:val="008D7861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0312"/>
    <w:rsid w:val="00943AF3"/>
    <w:rsid w:val="009443C4"/>
    <w:rsid w:val="00946DF2"/>
    <w:rsid w:val="00946F10"/>
    <w:rsid w:val="00950926"/>
    <w:rsid w:val="00950A80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25FE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3E26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6108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2F2E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76B5A"/>
    <w:rsid w:val="00A81041"/>
    <w:rsid w:val="00A9757F"/>
    <w:rsid w:val="00AA16A4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E7D9C"/>
    <w:rsid w:val="00AF4725"/>
    <w:rsid w:val="00B009D2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46A80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5FD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0D9B"/>
    <w:rsid w:val="00C76580"/>
    <w:rsid w:val="00C76CCE"/>
    <w:rsid w:val="00C77493"/>
    <w:rsid w:val="00C80910"/>
    <w:rsid w:val="00C80F30"/>
    <w:rsid w:val="00C80F41"/>
    <w:rsid w:val="00C81698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C6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0984"/>
    <w:rsid w:val="00D41006"/>
    <w:rsid w:val="00D46356"/>
    <w:rsid w:val="00D468B2"/>
    <w:rsid w:val="00D46F9D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4AE1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17B3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87B1C"/>
    <w:rsid w:val="00F92C3E"/>
    <w:rsid w:val="00F9327D"/>
    <w:rsid w:val="00F94B3D"/>
    <w:rsid w:val="00F951F3"/>
    <w:rsid w:val="00F95614"/>
    <w:rsid w:val="00F9577D"/>
    <w:rsid w:val="00F9739A"/>
    <w:rsid w:val="00FB0932"/>
    <w:rsid w:val="00FB0AE5"/>
    <w:rsid w:val="00FB7CEF"/>
    <w:rsid w:val="00FC0E7B"/>
    <w:rsid w:val="00FC2A21"/>
    <w:rsid w:val="00FC2D46"/>
    <w:rsid w:val="00FC5448"/>
    <w:rsid w:val="00FC5C8C"/>
    <w:rsid w:val="00FD0EBA"/>
    <w:rsid w:val="00FD1911"/>
    <w:rsid w:val="00FD5CC6"/>
    <w:rsid w:val="00FD72EC"/>
    <w:rsid w:val="00FE36DF"/>
    <w:rsid w:val="00FE4912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49C3-B419-4182-B084-3B533456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MITERD TABLAS IP CPP</dc:title>
  <dc:creator>MITERD</dc:creator>
  <cp:lastModifiedBy>Alicia López Leal</cp:lastModifiedBy>
  <cp:revision>7</cp:revision>
  <cp:lastPrinted>2020-03-13T10:41:00Z</cp:lastPrinted>
  <dcterms:created xsi:type="dcterms:W3CDTF">2021-01-27T11:54:00Z</dcterms:created>
  <dcterms:modified xsi:type="dcterms:W3CDTF">2021-07-26T10:29:00Z</dcterms:modified>
</cp:coreProperties>
</file>